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48" w:rsidRPr="00346C48" w:rsidRDefault="00346C48" w:rsidP="00346C48">
      <w:pPr>
        <w:pStyle w:val="p-res"/>
        <w:shd w:val="clear" w:color="auto" w:fill="FFFFFF"/>
        <w:ind w:firstLine="426"/>
        <w:jc w:val="center"/>
        <w:rPr>
          <w:b/>
          <w:color w:val="060606"/>
          <w:sz w:val="28"/>
          <w:szCs w:val="28"/>
        </w:rPr>
      </w:pPr>
      <w:r w:rsidRPr="00346C48">
        <w:rPr>
          <w:b/>
          <w:color w:val="060606"/>
          <w:sz w:val="28"/>
          <w:szCs w:val="28"/>
        </w:rPr>
        <w:t>BÀI TUYÊN TRUYÊN ĐỀ ÁN 06</w:t>
      </w:r>
    </w:p>
    <w:p w:rsidR="00346C48" w:rsidRPr="00346C48" w:rsidRDefault="00346C48" w:rsidP="00346C48">
      <w:pPr>
        <w:shd w:val="clear" w:color="auto" w:fill="FFFFFF"/>
        <w:spacing w:before="300" w:after="300" w:line="264" w:lineRule="atLeast"/>
        <w:ind w:firstLine="426"/>
        <w:jc w:val="both"/>
        <w:outlineLvl w:val="2"/>
        <w:rPr>
          <w:rFonts w:eastAsia="Times New Roman" w:cs="Times New Roman"/>
          <w:color w:val="000000"/>
          <w:spacing w:val="-2"/>
          <w:szCs w:val="28"/>
        </w:rPr>
      </w:pPr>
      <w:r w:rsidRPr="00346C48">
        <w:rPr>
          <w:rFonts w:eastAsia="Times New Roman" w:cs="Times New Roman"/>
          <w:bCs/>
          <w:color w:val="333333"/>
          <w:spacing w:val="-2"/>
          <w:szCs w:val="28"/>
        </w:rPr>
        <w:t>Lợi ích của việc triển khai đề án 06 phát triển ứng dụng dữ liệu về dân cư, định danh và xác thực điện tử phục vụ chuyển đổi số quốc gia giai đoạn 2022-2025, tầm nhìn đến năm 2030</w:t>
      </w:r>
      <w:r w:rsidRPr="00346C48">
        <w:rPr>
          <w:rFonts w:eastAsia="Times New Roman" w:cs="Times New Roman"/>
          <w:color w:val="000000"/>
          <w:spacing w:val="-2"/>
          <w:szCs w:val="28"/>
        </w:rPr>
        <w:t>     </w:t>
      </w:r>
    </w:p>
    <w:p w:rsidR="00346C48" w:rsidRPr="00346C48" w:rsidRDefault="00346C48" w:rsidP="00346C48">
      <w:pPr>
        <w:shd w:val="clear" w:color="auto" w:fill="FFFFFF"/>
        <w:spacing w:line="240" w:lineRule="auto"/>
        <w:ind w:firstLine="426"/>
        <w:jc w:val="both"/>
        <w:rPr>
          <w:rFonts w:eastAsia="Times New Roman" w:cs="Times New Roman"/>
          <w:color w:val="000000"/>
          <w:spacing w:val="-2"/>
          <w:szCs w:val="28"/>
        </w:rPr>
      </w:pPr>
      <w:r w:rsidRPr="00346C48">
        <w:rPr>
          <w:rFonts w:eastAsia="Times New Roman" w:cs="Times New Roman"/>
          <w:bCs/>
          <w:color w:val="000000"/>
          <w:spacing w:val="-2"/>
          <w:szCs w:val="28"/>
        </w:rPr>
        <w:t>Trong bối cảnh đất nước hiện nay, khi chúng ta đã chuyển sang giai đoạn thích ứng an toàn, linh hoạt, kiểm soát phát triển ứng dụng về dân cư, định danh cá nhân và thực hiện điện tử đẩy mạnh chuyển đổi số quốc gia, phát triển kinh tế số trên nền tảng khoa học và công nghệ, đổi mới sáng tạo; đồng thời xác định một trong những nhiệm vụ trọng tâm nhiệm kỳ Đại hội XIII là: “đẩy mạnh nghiên cứu, chuyển giao, ứng dụng tiến bộ khoa học và công nghệ, đổi mới sáng tạo, nhất là thành tựu của cuộc cách mạng công nghiệp lần thứ tư, thực hiện chuyển đổi số quốc gia, phát triển kinh tế số”. Đây là một trong những dự án công nghệ thông tin lớn nhất từ trước đến nay. Phát triển ứng dụng dữ liệu điện tử có ý nghĩa tầm quan trọng rất lớn như:</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Thay đổi phương thức quản lý công dân từ thủ công, sử dụng giấy tờ sang hiện đại, ứng dụng công nghệ thông tin; quản lý toàn dân thông qua mã định danh cá nhân.</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Góp phần khắc phục tình trạng thiếu thống nhất và nâng cao chất lượng, hiệu quả, tính chính xác trong quản lý thông tin cơ bản của công dân giữa các bộ, ngành, địa phương.</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Tiết kiệm thời gian, công sức, cơ sở vật chất trong xây dựng và vận hành các cơ sở dữ liệu chuyên ngành đóng góp vào tăng trưởng kinh tế của đất nước.</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Tạo điều kiện thuận lợi và nền tảng quan trọng để triển khai các dịch vụ công trực tuyến phục vụ người dân, doanh nghiệp.</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Góp phần cải cách thủ tục hành chính, giảm phiền hà, sách nhiễu, tiếp xúc với nhân dân, doanh nghiệp, góp phần chống tiêu cực, tham nhũng trong việc tiếp xúc với nhân dân, doanh nghiệp.</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Thúc đẩy quản trị quốc gia bằng kỷ thuật số, quản trị thông minh.</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xml:space="preserve"> Qua đó dịch vụ hành chính công và dịch vụ công trực tuyến là những dịch vụ liên quan đến hoạt động thực thi pháp luật và cũng là dịch vụ hành chính và các dịch vụ khác của cơ quan nhà nước được cung cấp cho các cá nhân, tổ chức trên môi trường mạng, không nhằm mục tiêu lợi nhuận. Việc triển khai dịch vụ công trực tuyến kết hợp, tích hợp, chia sẻ dữ liệu các hệ thống thông tin, cơ sở dữ liệu với Cơ sở dữ liệu Quốc gia về dân cư. Hiện nay dịch vụ công trực tuyến đã tập trung triển khai 25 dịch vụ công thiết yếu và đã triển khai tích hợp các giấy tờ công dân để sử dụng thẻ Căn cước công dân và ứng dụng VNEID, trong đó tích hợp thông tin bảo hiểm y tế, giấy chứng nhận đăng ký xe, giấy phép lái xe, thẻ ngân hàng… từ đó tạo thuận lợi cho người dân trong các giao dịch. Do đó khi tổ chức cá nhân tham gia dịch vụ công trực tuyến mức độ 3, mức độ 4 lĩnh vực cư </w:t>
      </w:r>
      <w:r w:rsidRPr="00346C48">
        <w:rPr>
          <w:rFonts w:eastAsia="Times New Roman" w:cs="Times New Roman"/>
          <w:color w:val="000000"/>
          <w:spacing w:val="-2"/>
          <w:szCs w:val="28"/>
        </w:rPr>
        <w:lastRenderedPageBreak/>
        <w:t>trú, cấp căn cước công dân nói riêng và các dịch vụ công trực tuyến khác nói chung sẽ nhận được các lợi ích sau:</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Thủ tục đăng ký đơn giản, nhanh chóng thuận tiện 24/24 giờ trong ngày tại mọi địa điểm kết nối internet.</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Tiết kiệm chi phí đi lại, thời gian giao dịch, đơn giản thủ tục giấy tờ</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Chủ động các công việc khác của dân</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Theo dõi được tình trạng hồ sơ trên website trực tuyến, thời hạn giải quyết, trả kết quả hồ sơ</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 Bảo đảm công khai, minh bạch thủ tục hồ sơ</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Để thuận tiện cho việc thực hiện các thủ tục trên dịch vụ công trực tuyến thủ tục hành chính trong lĩnh vực đăng ký, quản lý cư trú cung cấp dịch vụ công mức độ 4 như: đăng ký thường trú, xóa đăng ký thường trú, đăng ký tạm trú, gia hạn tạm trú, xóa đăng ký thường trú, tách hộ, điều chỉnh thông tin cư trú trong CSDL về cư trú, khai báo thông tin cư trú đối với người chưa đủ điều kiện đăng ký thường trú, đăng ký tạm trú, xác nhạn thông tin về cư trú, thông báo lưu trú, khai báo tạm vắng. Cá nhân, tổ chức trên địa bàn tỉnh thực hiện tạo tài khoản các bước như sau:</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b/>
          <w:bCs/>
          <w:color w:val="000000"/>
          <w:spacing w:val="-2"/>
          <w:szCs w:val="28"/>
        </w:rPr>
        <w:t> Bước 1:</w:t>
      </w:r>
      <w:r w:rsidRPr="00346C48">
        <w:rPr>
          <w:rFonts w:eastAsia="Times New Roman" w:cs="Times New Roman"/>
          <w:color w:val="000000"/>
          <w:spacing w:val="-2"/>
          <w:szCs w:val="28"/>
        </w:rPr>
        <w:t> Công dân truy cập vào cổng dịch vụ công Quốc gia hoặc cổng dịch vụ công của Bộ Công an (www.dichvucong.gov.vn; www.dichvucong.bocongan.gov.vn). Đăng nhập tài khoản hoặc tạo tài khoản để thực hiện.</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w:t>
      </w:r>
      <w:r w:rsidRPr="00346C48">
        <w:rPr>
          <w:rFonts w:eastAsia="Times New Roman" w:cs="Times New Roman"/>
          <w:b/>
          <w:bCs/>
          <w:color w:val="000000"/>
          <w:spacing w:val="-2"/>
          <w:szCs w:val="28"/>
        </w:rPr>
        <w:t>Bước 2</w:t>
      </w:r>
      <w:r w:rsidRPr="00346C48">
        <w:rPr>
          <w:rFonts w:eastAsia="Times New Roman" w:cs="Times New Roman"/>
          <w:color w:val="000000"/>
          <w:spacing w:val="-2"/>
          <w:szCs w:val="28"/>
        </w:rPr>
        <w:t>. Tại giao diện cổng dịch vụ công, chọn thủ tục hành chính cần thực hiện.</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b/>
          <w:bCs/>
          <w:color w:val="000000"/>
          <w:spacing w:val="-2"/>
          <w:szCs w:val="28"/>
        </w:rPr>
        <w:t> Bước 3. </w:t>
      </w:r>
      <w:r w:rsidRPr="00346C48">
        <w:rPr>
          <w:rFonts w:eastAsia="Times New Roman" w:cs="Times New Roman"/>
          <w:color w:val="000000"/>
          <w:spacing w:val="-2"/>
          <w:szCs w:val="28"/>
        </w:rPr>
        <w:t>Tiến hành điền đầy đủ thông tin vào biểu mẫu, đính kèm các file tài liệu, chọn hình thức nhận kết quả giải quyết.</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w:t>
      </w:r>
      <w:r w:rsidRPr="00346C48">
        <w:rPr>
          <w:rFonts w:eastAsia="Times New Roman" w:cs="Times New Roman"/>
          <w:b/>
          <w:bCs/>
          <w:color w:val="000000"/>
          <w:spacing w:val="-2"/>
          <w:szCs w:val="28"/>
        </w:rPr>
        <w:t>Bước 4.</w:t>
      </w:r>
      <w:r w:rsidRPr="00346C48">
        <w:rPr>
          <w:rFonts w:eastAsia="Times New Roman" w:cs="Times New Roman"/>
          <w:color w:val="000000"/>
          <w:spacing w:val="-2"/>
          <w:szCs w:val="28"/>
        </w:rPr>
        <w:t> Thực hiện thanh toán phí, lệ phí (nếu có)</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b/>
          <w:bCs/>
          <w:color w:val="000000"/>
          <w:spacing w:val="-2"/>
          <w:szCs w:val="28"/>
        </w:rPr>
        <w:t> Bước 5</w:t>
      </w:r>
      <w:r w:rsidRPr="00346C48">
        <w:rPr>
          <w:rFonts w:eastAsia="Times New Roman" w:cs="Times New Roman"/>
          <w:color w:val="000000"/>
          <w:spacing w:val="-2"/>
          <w:szCs w:val="28"/>
        </w:rPr>
        <w:t>. Kiểm tra thông tin và thực hiện nộp hồ sơ</w:t>
      </w:r>
    </w:p>
    <w:p w:rsidR="00346C48" w:rsidRPr="00346C48" w:rsidRDefault="00346C48" w:rsidP="00346C48">
      <w:pPr>
        <w:shd w:val="clear" w:color="auto" w:fill="FFFFFF"/>
        <w:spacing w:after="150" w:line="240" w:lineRule="auto"/>
        <w:ind w:firstLine="426"/>
        <w:jc w:val="both"/>
        <w:rPr>
          <w:rFonts w:eastAsia="Times New Roman" w:cs="Times New Roman"/>
          <w:color w:val="000000"/>
          <w:spacing w:val="-2"/>
          <w:szCs w:val="28"/>
        </w:rPr>
      </w:pPr>
      <w:r w:rsidRPr="00346C48">
        <w:rPr>
          <w:rFonts w:eastAsia="Times New Roman" w:cs="Times New Roman"/>
          <w:color w:val="000000"/>
          <w:spacing w:val="-2"/>
          <w:szCs w:val="28"/>
        </w:rPr>
        <w:t xml:space="preserve"> Trên đây là bài tuyên truyền về việc phát triển ứng dụng dữ liệu về dân cư, định danh và xác thực điện tử, từ việc xây dựng thành công Cơ sở dữ liệu quốc gia về dân cư, đẩy mạnh chuyển đổi số quốc gia trên nền tảng khoa học và công nghệ tạo nền tảng phát triển Chính phủ điện tử để hình thành công dân số, xã hội số, phù hợp với xu thế chung của nhân loại. Để tạo được thành công nhờ vào sự hưởng ứng của cá nhân, tổ chức đang sinh sống và làm việc trên địa </w:t>
      </w:r>
      <w:r>
        <w:rPr>
          <w:rFonts w:eastAsia="Times New Roman" w:cs="Times New Roman"/>
          <w:color w:val="000000"/>
          <w:spacing w:val="-2"/>
          <w:szCs w:val="28"/>
        </w:rPr>
        <w:t>xã</w:t>
      </w:r>
      <w:bookmarkStart w:id="0" w:name="_GoBack"/>
      <w:bookmarkEnd w:id="0"/>
      <w:r w:rsidRPr="00346C48">
        <w:rPr>
          <w:rFonts w:eastAsia="Times New Roman" w:cs="Times New Roman"/>
          <w:color w:val="000000"/>
          <w:spacing w:val="-2"/>
          <w:szCs w:val="28"/>
        </w:rPr>
        <w:t>/.</w:t>
      </w:r>
    </w:p>
    <w:p w:rsidR="008F022A" w:rsidRPr="00346C48" w:rsidRDefault="008F022A" w:rsidP="00346C48">
      <w:pPr>
        <w:ind w:firstLine="426"/>
        <w:rPr>
          <w:rFonts w:cs="Times New Roman"/>
          <w:szCs w:val="28"/>
        </w:rPr>
      </w:pPr>
    </w:p>
    <w:sectPr w:rsidR="008F022A" w:rsidRPr="00346C48" w:rsidSect="00A603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48"/>
    <w:rsid w:val="00346C48"/>
    <w:rsid w:val="008F022A"/>
    <w:rsid w:val="00A6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346C4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46C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346C4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46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46190">
      <w:bodyDiv w:val="1"/>
      <w:marLeft w:val="0"/>
      <w:marRight w:val="0"/>
      <w:marTop w:val="0"/>
      <w:marBottom w:val="0"/>
      <w:divBdr>
        <w:top w:val="none" w:sz="0" w:space="0" w:color="auto"/>
        <w:left w:val="none" w:sz="0" w:space="0" w:color="auto"/>
        <w:bottom w:val="none" w:sz="0" w:space="0" w:color="auto"/>
        <w:right w:val="none" w:sz="0" w:space="0" w:color="auto"/>
      </w:divBdr>
      <w:divsChild>
        <w:div w:id="1838841712">
          <w:marLeft w:val="0"/>
          <w:marRight w:val="0"/>
          <w:marTop w:val="0"/>
          <w:marBottom w:val="300"/>
          <w:divBdr>
            <w:top w:val="none" w:sz="0" w:space="0" w:color="auto"/>
            <w:left w:val="none" w:sz="0" w:space="0" w:color="auto"/>
            <w:bottom w:val="none" w:sz="0" w:space="0" w:color="auto"/>
            <w:right w:val="none" w:sz="0" w:space="0" w:color="auto"/>
          </w:divBdr>
          <w:divsChild>
            <w:div w:id="1968702337">
              <w:marLeft w:val="0"/>
              <w:marRight w:val="0"/>
              <w:marTop w:val="0"/>
              <w:marBottom w:val="0"/>
              <w:divBdr>
                <w:top w:val="none" w:sz="0" w:space="0" w:color="auto"/>
                <w:left w:val="none" w:sz="0" w:space="0" w:color="auto"/>
                <w:bottom w:val="none" w:sz="0" w:space="0" w:color="auto"/>
                <w:right w:val="none" w:sz="0" w:space="0" w:color="auto"/>
              </w:divBdr>
            </w:div>
            <w:div w:id="681396208">
              <w:marLeft w:val="0"/>
              <w:marRight w:val="0"/>
              <w:marTop w:val="0"/>
              <w:marBottom w:val="0"/>
              <w:divBdr>
                <w:top w:val="none" w:sz="0" w:space="0" w:color="auto"/>
                <w:left w:val="none" w:sz="0" w:space="0" w:color="auto"/>
                <w:bottom w:val="none" w:sz="0" w:space="0" w:color="auto"/>
                <w:right w:val="none" w:sz="0" w:space="0" w:color="auto"/>
              </w:divBdr>
              <w:divsChild>
                <w:div w:id="1846748697">
                  <w:marLeft w:val="0"/>
                  <w:marRight w:val="0"/>
                  <w:marTop w:val="0"/>
                  <w:marBottom w:val="0"/>
                  <w:divBdr>
                    <w:top w:val="none" w:sz="0" w:space="0" w:color="auto"/>
                    <w:left w:val="none" w:sz="0" w:space="0" w:color="auto"/>
                    <w:bottom w:val="none" w:sz="0" w:space="0" w:color="auto"/>
                    <w:right w:val="none" w:sz="0" w:space="0" w:color="auto"/>
                  </w:divBdr>
                </w:div>
                <w:div w:id="358705421">
                  <w:marLeft w:val="0"/>
                  <w:marRight w:val="0"/>
                  <w:marTop w:val="0"/>
                  <w:marBottom w:val="0"/>
                  <w:divBdr>
                    <w:top w:val="none" w:sz="0" w:space="0" w:color="auto"/>
                    <w:left w:val="none" w:sz="0" w:space="0" w:color="auto"/>
                    <w:bottom w:val="none" w:sz="0" w:space="0" w:color="auto"/>
                    <w:right w:val="none" w:sz="0" w:space="0" w:color="auto"/>
                  </w:divBdr>
                </w:div>
                <w:div w:id="856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796">
          <w:marLeft w:val="0"/>
          <w:marRight w:val="0"/>
          <w:marTop w:val="0"/>
          <w:marBottom w:val="0"/>
          <w:divBdr>
            <w:top w:val="none" w:sz="0" w:space="0" w:color="auto"/>
            <w:left w:val="none" w:sz="0" w:space="0" w:color="auto"/>
            <w:bottom w:val="none" w:sz="0" w:space="0" w:color="auto"/>
            <w:right w:val="none" w:sz="0" w:space="0" w:color="auto"/>
          </w:divBdr>
          <w:divsChild>
            <w:div w:id="5468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E49EF-7FD6-4CA3-A37C-62E482788128}"/>
</file>

<file path=customXml/itemProps2.xml><?xml version="1.0" encoding="utf-8"?>
<ds:datastoreItem xmlns:ds="http://schemas.openxmlformats.org/officeDocument/2006/customXml" ds:itemID="{B500DF03-107D-4A47-8A59-D9D140A6974F}"/>
</file>

<file path=customXml/itemProps3.xml><?xml version="1.0" encoding="utf-8"?>
<ds:datastoreItem xmlns:ds="http://schemas.openxmlformats.org/officeDocument/2006/customXml" ds:itemID="{171B2317-B8B7-42B5-89D4-A7D077B3501D}"/>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4009</Characters>
  <Application>Microsoft Office Word</Application>
  <DocSecurity>0</DocSecurity>
  <Lines>33</Lines>
  <Paragraphs>9</Paragraphs>
  <ScaleCrop>false</ScaleCrop>
  <Company>Microsoft</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2023-06-08T08:34:00Z</dcterms:created>
  <dcterms:modified xsi:type="dcterms:W3CDTF">2023-06-08T08:38:00Z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